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000000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3960000" cy="1319175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mplio_Dark_horizontal_1600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0" cy="13191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/>
          <w:p/>
          <w:p/>
          <w:p/>
          <w:p/>
          <w:p>
            <w:pPr>
              <w:jc w:val="center"/>
            </w:pPr>
            <w:r>
              <w:rPr>
                <w:rFonts w:ascii="Inter" w:hAnsi="Inter"/>
                <w:b/>
                <w:color w:val="FFFFFF"/>
                <w:sz w:val="56"/>
              </w:rPr>
              <w:br/>
              <w:br/>
              <w:t>Granting Amplio access to review your Business Central setup</w:t>
            </w:r>
          </w:p>
          <w:p>
            <w:pPr>
              <w:jc w:val="center"/>
            </w:pPr>
            <w:r>
              <w:rPr>
                <w:rFonts w:ascii="Inter" w:hAnsi="Inter"/>
                <w:color w:val="F2F2F2"/>
                <w:sz w:val="28"/>
              </w:rPr>
              <w:t>Free BC Review — App setup guide · 19 June 2026</w:t>
            </w:r>
          </w:p>
          <w:p/>
          <w:p/>
          <w:p/>
        </w:tc>
      </w:tr>
    </w:tbl>
    <w:p>
      <w:r>
        <w:br w:type="page"/>
      </w:r>
    </w:p>
    <w:p>
      <w:r>
        <w:fldChar w:fldCharType="begin"/>
        <w:instrText xml:space="preserve">TOC \o "1-3" \h \z \u</w:instrText>
        <w:fldChar w:fldCharType="separate"/>
        <w:fldChar w:fldCharType="end"/>
      </w:r>
    </w:p>
    <w:p>
      <w:r>
        <w:br w:type="page"/>
      </w:r>
    </w:p>
    <w:p>
      <w:r>
        <w:t xml:space="preserve">This guide sets up a </w:t>
      </w:r>
      <w:r>
        <w:rPr>
          <w:b/>
        </w:rPr>
        <w:t>read-only application</w:t>
      </w:r>
      <w:r>
        <w:t xml:space="preserve"> that lets Amplio’s BC System Review securely read your Business Central configuration across </w:t>
      </w:r>
      <w:r>
        <w:rPr>
          <w:b/>
        </w:rPr>
        <w:t>all your companies</w:t>
      </w:r>
      <w:r>
        <w:t xml:space="preserve">. It takes ~10–15 minutes and needs a </w:t>
      </w:r>
      <w:r>
        <w:rPr>
          <w:b/>
        </w:rPr>
        <w:t>Microsoft Entra (Azure AD) Global Admin</w:t>
      </w:r>
      <w:r>
        <w:t xml:space="preserve"> and a </w:t>
      </w:r>
      <w:r>
        <w:rPr>
          <w:b/>
        </w:rPr>
        <w:t>Business Central admin</w:t>
      </w:r>
      <w:r>
        <w:t>.</w:t>
      </w:r>
    </w:p>
    <w:p>
      <w:r>
        <w:t xml:space="preserve">There are two parts. </w:t>
      </w:r>
      <w:r>
        <w:rPr>
          <w:b/>
        </w:rPr>
        <w:t>Part A</w:t>
      </w:r>
      <w:r>
        <w:t xml:space="preserve"> (Microsoft Entra) creates the app so it can sign in. </w:t>
      </w:r>
      <w:r>
        <w:rPr>
          <w:b/>
        </w:rPr>
        <w:t>Part B</w:t>
      </w:r>
      <w:r>
        <w:t xml:space="preserve"> (Business Central) registers that app inside BC so it is allowed to read your data. You need </w:t>
      </w:r>
      <w:r>
        <w:rPr>
          <w:b/>
        </w:rPr>
        <w:t>both</w:t>
      </w:r>
      <w:r>
        <w:t xml:space="preserve"> — with only Part A the token is valid but BC rejects every call with </w:t>
      </w:r>
      <w:r>
        <w:rPr>
          <w:rFonts w:ascii="Consolas" w:hAnsi="Consolas"/>
          <w:sz w:val="20"/>
        </w:rPr>
        <w:t>401 Authentication_InvalidCredentials</w:t>
      </w:r>
      <w:r>
        <w:t>.</w:t>
      </w:r>
    </w:p>
    <w:p>
      <w:r>
        <w:t xml:space="preserve">You will collect </w:t>
      </w:r>
      <w:r>
        <w:rPr>
          <w:b/>
        </w:rPr>
        <w:t>four values</w:t>
      </w:r>
      <w:r>
        <w:t xml:space="preserve"> to send Amplio: ① Directory (tenant) ID, ② Application (client) ID, ③ Client secret Value, ④ Environment name. Keep them together and send via a secure channel (not plain email).</w:t>
      </w:r>
    </w:p>
    <w:p>
      <w:pPr>
        <w:pStyle w:val="Heading1"/>
      </w:pPr>
      <w:r>
        <w:t>Part A — Microsoft Entra (Azure AD)</w:t>
      </w:r>
    </w:p>
    <w:p>
      <w:r>
        <w:t xml:space="preserve">Portal: </w:t>
      </w:r>
      <w:r>
        <w:rPr>
          <w:rFonts w:ascii="Consolas" w:hAnsi="Consolas"/>
          <w:sz w:val="20"/>
        </w:rPr>
        <w:t>entra.microsoft.com</w:t>
      </w:r>
      <w:r>
        <w:t xml:space="preserve"> (or </w:t>
      </w:r>
      <w:r>
        <w:rPr>
          <w:rFonts w:ascii="Consolas" w:hAnsi="Consolas"/>
          <w:sz w:val="20"/>
        </w:rPr>
        <w:t>portal.azure.com</w:t>
      </w:r>
      <w:r>
        <w:t xml:space="preserve"> → Microsoft Entra ID).</w:t>
      </w:r>
    </w:p>
    <w:p>
      <w:pPr>
        <w:pStyle w:val="Heading2"/>
      </w:pPr>
      <w:r>
        <w:t>1. Sign in to the right tenant</w:t>
      </w:r>
    </w:p>
    <w:p>
      <w:pPr>
        <w:pStyle w:val="ListBullet"/>
      </w:pPr>
      <w:r>
        <w:t>Open a private/incognito window so you don’t pick up a stale Microsoft session from another tenant.</w:t>
      </w:r>
    </w:p>
    <w:p>
      <w:pPr>
        <w:pStyle w:val="ListBullet"/>
      </w:pPr>
      <w:r>
        <w:t xml:space="preserve">Sign in with the admin account of the directory that hosts your Business Central environment. Use the top-right avatar to confirm the directory; </w:t>
      </w:r>
      <w:r>
        <w:rPr>
          <w:b/>
        </w:rPr>
        <w:t>Switch directory</w:t>
      </w:r>
      <w:r>
        <w:t xml:space="preserve"> if it’s wrong.</w:t>
      </w:r>
    </w:p>
    <w:p>
      <w:pPr>
        <w:pStyle w:val="Heading2"/>
      </w:pPr>
      <w:r>
        <w:t>2. Create the app registration (single tenant)</w:t>
      </w:r>
    </w:p>
    <w:p>
      <w:pPr>
        <w:pStyle w:val="ListBullet"/>
      </w:pPr>
      <w:r>
        <w:t xml:space="preserve">Go to </w:t>
      </w:r>
      <w:r>
        <w:rPr>
          <w:b/>
        </w:rPr>
        <w:t>Applications → App registrations → + New registration</w:t>
      </w:r>
      <w:r>
        <w:t>.</w:t>
      </w:r>
    </w:p>
    <w:p>
      <w:pPr>
        <w:pStyle w:val="ListBullet"/>
      </w:pPr>
      <w:r>
        <w:rPr>
          <w:b/>
        </w:rPr>
        <w:t>Name:</w:t>
      </w:r>
      <w:r>
        <w:t xml:space="preserve"> Amplio BC System Review.</w:t>
      </w:r>
    </w:p>
    <w:p>
      <w:pPr>
        <w:pStyle w:val="ListBullet"/>
      </w:pPr>
      <w:r>
        <w:rPr>
          <w:b/>
        </w:rPr>
        <w:t>Supported account types:</w:t>
      </w:r>
      <w:r>
        <w:t xml:space="preserve"> Accounts in this organizational directory only (</w:t>
      </w:r>
      <w:r>
        <w:rPr>
          <w:b/>
        </w:rPr>
        <w:t>Single tenant</w:t>
      </w:r>
      <w:r>
        <w:t>).</w:t>
      </w:r>
    </w:p>
    <w:p>
      <w:pPr>
        <w:pStyle w:val="ListBullet"/>
      </w:pPr>
      <w:r>
        <w:rPr>
          <w:b/>
        </w:rPr>
        <w:t>Redirect URI:</w:t>
      </w:r>
      <w:r>
        <w:t xml:space="preserve"> leave </w:t>
      </w:r>
      <w:r>
        <w:rPr>
          <w:b/>
        </w:rPr>
        <w:t>blank</w:t>
      </w:r>
      <w:r>
        <w:t xml:space="preserve"> — the app uses the client-credentials (app-only) flow, which never redirects a browser. Click </w:t>
      </w:r>
      <w:r>
        <w:rPr>
          <w:b/>
        </w:rPr>
        <w:t>Register</w:t>
      </w:r>
      <w:r>
        <w:t>.</w:t>
      </w:r>
    </w:p>
    <w:p>
      <w:pPr>
        <w:pStyle w:val="Heading2"/>
      </w:pPr>
      <w:r>
        <w:t>3. Copy the Tenant ID and Client ID</w:t>
      </w:r>
    </w:p>
    <w:p>
      <w:pPr>
        <w:pStyle w:val="ListBullet"/>
      </w:pPr>
      <w:r>
        <w:t xml:space="preserve">On the app’s </w:t>
      </w:r>
      <w:r>
        <w:rPr>
          <w:b/>
        </w:rPr>
        <w:t>Overview</w:t>
      </w:r>
      <w:r>
        <w:t xml:space="preserve"> → Essentials, copy </w:t>
      </w:r>
      <w:r>
        <w:rPr>
          <w:b/>
        </w:rPr>
        <w:t>Directory (tenant) ID</w:t>
      </w:r>
      <w:r>
        <w:t xml:space="preserve"> (value ①) and </w:t>
      </w:r>
      <w:r>
        <w:rPr>
          <w:b/>
        </w:rPr>
        <w:t>Application (client) ID</w:t>
      </w:r>
      <w:r>
        <w:t xml:space="preserve"> (value ②). Both are UUIDs like 11111111-2222-3333-4444-555555555555.</w:t>
      </w:r>
    </w:p>
    <w:p>
      <w:pPr>
        <w:pStyle w:val="Heading2"/>
      </w:pPr>
      <w:r>
        <w:t>4. Add the Business Central API permissions and grant admin consent</w:t>
      </w:r>
    </w:p>
    <w:p>
      <w:pPr>
        <w:pStyle w:val="ListBullet"/>
      </w:pPr>
      <w:r>
        <w:rPr>
          <w:b/>
        </w:rPr>
        <w:t>API permissions → + Add a permission → APIs my organization uses</w:t>
      </w:r>
      <w:r>
        <w:t xml:space="preserve">, search </w:t>
      </w:r>
      <w:r>
        <w:rPr>
          <w:b/>
        </w:rPr>
        <w:t>Dynamics 365 Business Central</w:t>
      </w:r>
      <w:r>
        <w:t>.</w:t>
      </w:r>
    </w:p>
    <w:p>
      <w:pPr>
        <w:pStyle w:val="ListBullet"/>
      </w:pPr>
      <w:r>
        <w:t xml:space="preserve">Choose </w:t>
      </w:r>
      <w:r>
        <w:rPr>
          <w:b/>
        </w:rPr>
        <w:t>Application permissions</w:t>
      </w:r>
      <w:r>
        <w:t xml:space="preserve"> (not Delegated) and tick </w:t>
      </w:r>
      <w:r>
        <w:rPr>
          <w:b/>
        </w:rPr>
        <w:t>`API.ReadWrite.All`</w:t>
      </w:r>
      <w:r>
        <w:t xml:space="preserve"> and </w:t>
      </w:r>
      <w:r>
        <w:rPr>
          <w:b/>
        </w:rPr>
        <w:t>`Automation.ReadWrite.All`</w:t>
      </w:r>
      <w:r>
        <w:t xml:space="preserve">. Click </w:t>
      </w:r>
      <w:r>
        <w:rPr>
          <w:b/>
        </w:rPr>
        <w:t>Add permissions</w:t>
      </w:r>
      <w:r>
        <w:t>.</w:t>
      </w:r>
    </w:p>
    <w:p>
      <w:pPr>
        <w:pStyle w:val="ListBullet"/>
      </w:pPr>
      <w:r>
        <w:t xml:space="preserve">Click </w:t>
      </w:r>
      <w:r>
        <w:rPr>
          <w:b/>
        </w:rPr>
        <w:t>Grant admin consent for &lt;your org&gt;</w:t>
      </w:r>
      <w:r>
        <w:t xml:space="preserve"> and confirm — each permission’s Status must turn to a green </w:t>
      </w:r>
      <w:r>
        <w:rPr>
          <w:b/>
        </w:rPr>
        <w:t>Granted</w:t>
      </w:r>
      <w:r>
        <w:t xml:space="preserve"> tick.</w:t>
      </w:r>
    </w:p>
    <w:p>
      <w:r>
        <w:t xml:space="preserve">Why it matters: without admin consent the token comes back with no roles and Business Central rejects it. BC publishes the broad </w:t>
      </w:r>
      <w:r>
        <w:rPr>
          <w:rFonts w:ascii="Consolas" w:hAnsi="Consolas"/>
          <w:sz w:val="20"/>
        </w:rPr>
        <w:t>API.ReadWrite.All</w:t>
      </w:r>
      <w:r>
        <w:t xml:space="preserve"> scope — there is no narrower published equivalent; Amplio’s scan code is read-only and never calls a write endpoint.</w:t>
      </w:r>
    </w:p>
    <w:p>
      <w:pPr>
        <w:pStyle w:val="Heading2"/>
      </w:pPr>
      <w:r>
        <w:t>5. Create the client secret (copy the Value)</w:t>
      </w:r>
    </w:p>
    <w:p>
      <w:pPr>
        <w:pStyle w:val="ListBullet"/>
      </w:pPr>
      <w:r>
        <w:rPr>
          <w:b/>
        </w:rPr>
        <w:t>Certificates &amp; secrets → Client secrets → + New client secret.</w:t>
      </w:r>
      <w:r>
        <w:t xml:space="preserve"> Description: Amplio BC Review; Expires: 12–24 months (not Never). Click </w:t>
      </w:r>
      <w:r>
        <w:rPr>
          <w:b/>
        </w:rPr>
        <w:t>Add</w:t>
      </w:r>
      <w:r>
        <w:t>.</w:t>
      </w:r>
    </w:p>
    <w:p>
      <w:pPr>
        <w:pStyle w:val="ListBullet"/>
      </w:pPr>
      <w:r>
        <w:rPr>
          <w:b/>
        </w:rPr>
        <w:t>Immediately copy the `Value`</w:t>
      </w:r>
      <w:r>
        <w:t xml:space="preserve"> (value ③). ⚠ Copy the </w:t>
      </w:r>
      <w:r>
        <w:rPr>
          <w:b/>
        </w:rPr>
        <w:t>Value</w:t>
      </w:r>
      <w:r>
        <w:t xml:space="preserve">, NOT the </w:t>
      </w:r>
      <w:r>
        <w:rPr>
          <w:b/>
        </w:rPr>
        <w:t>Secret ID</w:t>
      </w:r>
      <w:r>
        <w:t xml:space="preserve"> — the Value is a longer string shown </w:t>
      </w:r>
      <w:r>
        <w:rPr>
          <w:b/>
        </w:rPr>
        <w:t>only once</w:t>
      </w:r>
      <w:r>
        <w:t>; the Secret ID is a GUID and will not work.</w:t>
      </w:r>
    </w:p>
    <w:p>
      <w:pPr>
        <w:pStyle w:val="Heading1"/>
      </w:pPr>
      <w:r>
        <w:t>Part B — Business Central (register the app inside BC)</w:t>
      </w:r>
    </w:p>
    <w:p>
      <w:r>
        <w:t xml:space="preserve">Sign in to Business Central as an admin. This step authorises the app to read your data — do it </w:t>
      </w:r>
      <w:r>
        <w:rPr>
          <w:b/>
        </w:rPr>
        <w:t>once per environment</w:t>
      </w:r>
      <w:r>
        <w:t xml:space="preserve"> you want reviewed.</w:t>
      </w:r>
    </w:p>
    <w:p>
      <w:pPr>
        <w:pStyle w:val="Heading2"/>
      </w:pPr>
      <w:r>
        <w:t>6. Open the “Microsoft Entra Applications” page</w:t>
      </w:r>
    </w:p>
    <w:p>
      <w:pPr>
        <w:pStyle w:val="ListBullet"/>
      </w:pPr>
      <w:r>
        <w:t xml:space="preserve">Click the search 🔍 (Tell me what you want to do), type </w:t>
      </w:r>
      <w:r>
        <w:rPr>
          <w:b/>
        </w:rPr>
        <w:t>Microsoft Entra Applications</w:t>
      </w:r>
      <w:r>
        <w:t xml:space="preserve"> and open it. (On older BC versions it’s called </w:t>
      </w:r>
      <w:r>
        <w:rPr>
          <w:b/>
        </w:rPr>
        <w:t>Azure Active Directory Applications</w:t>
      </w:r>
      <w:r>
        <w:t xml:space="preserve"> / </w:t>
      </w:r>
      <w:r>
        <w:rPr>
          <w:b/>
        </w:rPr>
        <w:t>AAD Applications</w:t>
      </w:r>
      <w:r>
        <w:t xml:space="preserve"> — same page.)</w:t>
      </w:r>
    </w:p>
    <w:p>
      <w:pPr>
        <w:pStyle w:val="Heading2"/>
      </w:pPr>
      <w:r>
        <w:t>7. Create the application entry (paste the Client ID)</w:t>
      </w:r>
    </w:p>
    <w:p>
      <w:pPr>
        <w:pStyle w:val="ListBullet"/>
      </w:pPr>
      <w:r>
        <w:t xml:space="preserve">Click </w:t>
      </w:r>
      <w:r>
        <w:rPr>
          <w:b/>
        </w:rPr>
        <w:t>New</w:t>
      </w:r>
      <w:r>
        <w:t xml:space="preserve">. </w:t>
      </w:r>
      <w:r>
        <w:rPr>
          <w:b/>
        </w:rPr>
        <w:t>Client ID:</w:t>
      </w:r>
      <w:r>
        <w:t xml:space="preserve"> paste the </w:t>
      </w:r>
      <w:r>
        <w:rPr>
          <w:b/>
        </w:rPr>
        <w:t>Application (client) ID</w:t>
      </w:r>
      <w:r>
        <w:t xml:space="preserve"> from step 3 (the app’s ID, NOT the secret).</w:t>
      </w:r>
    </w:p>
    <w:p>
      <w:pPr>
        <w:pStyle w:val="ListBullet"/>
      </w:pPr>
      <w:r>
        <w:rPr>
          <w:b/>
        </w:rPr>
        <w:t>Description:</w:t>
      </w:r>
      <w:r>
        <w:t xml:space="preserve"> e.g. Amplio System Review (free text). Leave </w:t>
      </w:r>
      <w:r>
        <w:rPr>
          <w:b/>
        </w:rPr>
        <w:t>State = Disabled</w:t>
      </w:r>
      <w:r>
        <w:t xml:space="preserve"> for now — you enable it at the end (step 9).</w:t>
      </w:r>
    </w:p>
    <w:p>
      <w:pPr>
        <w:pStyle w:val="Heading2"/>
      </w:pPr>
      <w:r>
        <w:t>8. Assign the permission set (across all companies)</w:t>
      </w:r>
    </w:p>
    <w:p>
      <w:pPr>
        <w:pStyle w:val="ListBullet"/>
      </w:pPr>
      <w:r>
        <w:t xml:space="preserve">On the application card, in the </w:t>
      </w:r>
      <w:r>
        <w:rPr>
          <w:b/>
        </w:rPr>
        <w:t>User Permission Sets</w:t>
      </w:r>
      <w:r>
        <w:t xml:space="preserve"> lines, add a permission set:</w:t>
      </w:r>
    </w:p>
    <w:p>
      <w:pPr>
        <w:pStyle w:val="ListBullet"/>
      </w:pPr>
      <w:r>
        <w:rPr>
          <w:b/>
        </w:rPr>
        <w:t>`D365 READ`</w:t>
      </w:r>
      <w:r>
        <w:t xml:space="preserve"> — read-only across BC; least-privilege, recommended for a review. Or </w:t>
      </w:r>
      <w:r>
        <w:rPr>
          <w:b/>
        </w:rPr>
        <w:t>`D365 BUS PREMIUM`</w:t>
      </w:r>
      <w:r>
        <w:t xml:space="preserve"> — full functional access, verified end-to-end.</w:t>
      </w:r>
    </w:p>
    <w:p>
      <w:pPr>
        <w:pStyle w:val="ListBullet"/>
      </w:pPr>
      <w:r>
        <w:t xml:space="preserve">Leave the </w:t>
      </w:r>
      <w:r>
        <w:rPr>
          <w:b/>
        </w:rPr>
        <w:t>Company</w:t>
      </w:r>
      <w:r>
        <w:t xml:space="preserve"> field on the line </w:t>
      </w:r>
      <w:r>
        <w:rPr>
          <w:b/>
        </w:rPr>
        <w:t>blank</w:t>
      </w:r>
      <w:r>
        <w:t xml:space="preserve"> so it applies to </w:t>
      </w:r>
      <w:r>
        <w:rPr>
          <w:b/>
        </w:rPr>
        <w:t>all companies</w:t>
      </w:r>
      <w:r>
        <w:t xml:space="preserve"> (a value there limits the app to that one company).</w:t>
      </w:r>
    </w:p>
    <w:p>
      <w:r>
        <w:t xml:space="preserve">⚠ You </w:t>
      </w:r>
      <w:r>
        <w:rPr>
          <w:b/>
        </w:rPr>
        <w:t>cannot</w:t>
      </w:r>
      <w:r>
        <w:t xml:space="preserve"> assign </w:t>
      </w:r>
      <w:r>
        <w:rPr>
          <w:rFonts w:ascii="Consolas" w:hAnsi="Consolas"/>
          <w:sz w:val="20"/>
        </w:rPr>
        <w:t>SUPER</w:t>
      </w:r>
      <w:r>
        <w:t xml:space="preserve"> — Business Central blocks SUPER for Entra Applications. Use </w:t>
      </w:r>
      <w:r>
        <w:rPr>
          <w:rFonts w:ascii="Consolas" w:hAnsi="Consolas"/>
          <w:sz w:val="20"/>
        </w:rPr>
        <w:t>D365 READ</w:t>
      </w:r>
      <w:r>
        <w:t xml:space="preserve"> or </w:t>
      </w:r>
      <w:r>
        <w:rPr>
          <w:rFonts w:ascii="Consolas" w:hAnsi="Consolas"/>
          <w:sz w:val="20"/>
        </w:rPr>
        <w:t>D365 BUS PREMIUM</w:t>
      </w:r>
      <w:r>
        <w:t>.</w:t>
      </w:r>
    </w:p>
    <w:p>
      <w:pPr>
        <w:pStyle w:val="Heading2"/>
      </w:pPr>
      <w:r>
        <w:t>9. Grant Consent, then set State = Enabled</w:t>
      </w:r>
    </w:p>
    <w:p>
      <w:pPr>
        <w:pStyle w:val="ListBullet"/>
      </w:pPr>
      <w:r>
        <w:t xml:space="preserve">Click </w:t>
      </w:r>
      <w:r>
        <w:rPr>
          <w:b/>
        </w:rPr>
        <w:t>Grant Consent</w:t>
      </w:r>
      <w:r>
        <w:t xml:space="preserve"> (in the actions/ribbon); a Microsoft sign-in opens — sign in as a Global/BC admin and approve.</w:t>
      </w:r>
    </w:p>
    <w:p>
      <w:pPr>
        <w:pStyle w:val="ListBullet"/>
      </w:pPr>
      <w:r>
        <w:t xml:space="preserve">Then set </w:t>
      </w:r>
      <w:r>
        <w:rPr>
          <w:b/>
        </w:rPr>
        <w:t>State = Enabled</w:t>
      </w:r>
      <w:r>
        <w:t xml:space="preserve"> and save. </w:t>
      </w:r>
      <w:r>
        <w:rPr>
          <w:b/>
        </w:rPr>
        <w:t>Order matters:</w:t>
      </w:r>
      <w:r>
        <w:t xml:space="preserve"> permissions + consent first, then Enabled — an Enabled app with no permission set or no consent will still 401.</w:t>
      </w:r>
    </w:p>
    <w:p>
      <w:pPr>
        <w:pStyle w:val="Heading1"/>
      </w:pPr>
      <w:r>
        <w:t>Finish — send the four values to Amplio</w:t>
      </w:r>
    </w:p>
    <w:p>
      <w:r>
        <w:t>Paste these into the Free BC Review form, or send them securely: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</w:tcPr>
          <w:p>
            <w:r/>
            <w:r>
              <w:rPr>
                <w:b/>
              </w:rPr>
              <w:t>#</w:t>
            </w:r>
          </w:p>
        </w:tc>
        <w:tc>
          <w:tcPr>
            <w:tcW w:type="dxa" w:w="3213"/>
          </w:tcPr>
          <w:p>
            <w:r/>
            <w:r>
              <w:rPr>
                <w:b/>
              </w:rPr>
              <w:t>Value</w:t>
            </w:r>
          </w:p>
        </w:tc>
        <w:tc>
          <w:tcPr>
            <w:tcW w:type="dxa" w:w="3213"/>
          </w:tcPr>
          <w:p>
            <w:r/>
            <w:r>
              <w:rPr>
                <w:b/>
              </w:rPr>
              <w:t>Where it came from</w:t>
            </w:r>
          </w:p>
        </w:tc>
      </w:tr>
      <w:tr>
        <w:tc>
          <w:tcPr>
            <w:tcW w:type="dxa" w:w="3213"/>
          </w:tcPr>
          <w:p>
            <w:r>
              <w:t>①</w:t>
            </w:r>
          </w:p>
        </w:tc>
        <w:tc>
          <w:tcPr>
            <w:tcW w:type="dxa" w:w="3213"/>
          </w:tcPr>
          <w:p>
            <w:r>
              <w:t>Directory (tenant) ID</w:t>
            </w:r>
          </w:p>
        </w:tc>
        <w:tc>
          <w:tcPr>
            <w:tcW w:type="dxa" w:w="3213"/>
          </w:tcPr>
          <w:p>
            <w:r>
              <w:t>Entra app Overview (step 3)</w:t>
            </w:r>
          </w:p>
        </w:tc>
      </w:tr>
      <w:tr>
        <w:tc>
          <w:tcPr>
            <w:tcW w:type="dxa" w:w="3213"/>
          </w:tcPr>
          <w:p>
            <w:r>
              <w:t>②</w:t>
            </w:r>
          </w:p>
        </w:tc>
        <w:tc>
          <w:tcPr>
            <w:tcW w:type="dxa" w:w="3213"/>
          </w:tcPr>
          <w:p>
            <w:r>
              <w:t>Application (client) ID</w:t>
            </w:r>
          </w:p>
        </w:tc>
        <w:tc>
          <w:tcPr>
            <w:tcW w:type="dxa" w:w="3213"/>
          </w:tcPr>
          <w:p>
            <w:r>
              <w:t>Entra app Overview (step 3)</w:t>
            </w:r>
          </w:p>
        </w:tc>
      </w:tr>
      <w:tr>
        <w:tc>
          <w:tcPr>
            <w:tcW w:type="dxa" w:w="3213"/>
          </w:tcPr>
          <w:p>
            <w:r>
              <w:t>③</w:t>
            </w:r>
          </w:p>
        </w:tc>
        <w:tc>
          <w:tcPr>
            <w:tcW w:type="dxa" w:w="3213"/>
          </w:tcPr>
          <w:p>
            <w:r>
              <w:t>Client secret Value</w:t>
            </w:r>
          </w:p>
        </w:tc>
        <w:tc>
          <w:tcPr>
            <w:tcW w:type="dxa" w:w="3213"/>
          </w:tcPr>
          <w:p>
            <w:r>
              <w:t>Entra → Certificates &amp; secrets (step 5)</w:t>
            </w:r>
          </w:p>
        </w:tc>
      </w:tr>
      <w:tr>
        <w:tc>
          <w:tcPr>
            <w:tcW w:type="dxa" w:w="3213"/>
          </w:tcPr>
          <w:p>
            <w:r>
              <w:t>④</w:t>
            </w:r>
          </w:p>
        </w:tc>
        <w:tc>
          <w:tcPr>
            <w:tcW w:type="dxa" w:w="3213"/>
          </w:tcPr>
          <w:p>
            <w:r>
              <w:t>Environment name</w:t>
            </w:r>
          </w:p>
        </w:tc>
        <w:tc>
          <w:tcPr>
            <w:tcW w:type="dxa" w:w="3213"/>
          </w:tcPr>
          <w:p>
            <w:r>
              <w:t>Business Central, e.g. Production</w:t>
            </w:r>
          </w:p>
        </w:tc>
      </w:tr>
    </w:tbl>
    <w:p>
      <w:r>
        <w:t>Amplio confirms it can read your setup and emails a branded report within one business day.</w:t>
      </w:r>
    </w:p>
    <w:p>
      <w:pPr>
        <w:pStyle w:val="Heading1"/>
      </w:pPr>
      <w:r>
        <w:t>Troubleshooting</w:t>
      </w:r>
    </w:p>
    <w:p>
      <w:pPr>
        <w:pStyle w:val="ListBullet"/>
      </w:pPr>
      <w:r>
        <w:rPr>
          <w:b/>
        </w:rPr>
        <w:t>`AADSTS7000215: Invalid client secret`</w:t>
      </w:r>
      <w:r>
        <w:t xml:space="preserve"> → the Secret ID (a GUID) was sent instead of the secret Value. Re-do step 5 and copy the Value.</w:t>
      </w:r>
    </w:p>
    <w:p>
      <w:pPr>
        <w:pStyle w:val="ListBullet"/>
      </w:pPr>
      <w:r>
        <w:rPr>
          <w:b/>
        </w:rPr>
        <w:t>Token has no roles / `roles: null`</w:t>
      </w:r>
      <w:r>
        <w:t xml:space="preserve"> → admin consent wasn’t granted in step 4. Click Grant admin consent.</w:t>
      </w:r>
    </w:p>
    <w:p>
      <w:pPr>
        <w:pStyle w:val="ListBullet"/>
      </w:pPr>
      <w:r>
        <w:rPr>
          <w:b/>
        </w:rPr>
        <w:t>`401 Authentication_InvalidCredentials` from BC</w:t>
      </w:r>
      <w:r>
        <w:t xml:space="preserve"> → the app isn’t registered in BC (Part B), its State isn’t Enabled, or no permission set is assigned. Check steps 7–9.</w:t>
      </w:r>
    </w:p>
    <w:p>
      <w:pPr>
        <w:pStyle w:val="ListBullet"/>
      </w:pPr>
      <w:r>
        <w:rPr>
          <w:b/>
        </w:rPr>
        <w:t>Most companies read but a few fail with “licence has expired / trial ended”</w:t>
      </w:r>
      <w:r>
        <w:t xml:space="preserve"> → those companies are usually in a genuine trial-expired state, or the permission set doesn’t cover them. Confirm the company is licensed; a tenant-wide </w:t>
      </w:r>
      <w:r>
        <w:rPr>
          <w:rFonts w:ascii="Consolas" w:hAnsi="Consolas"/>
          <w:sz w:val="20"/>
        </w:rPr>
        <w:t>D365 READ</w:t>
      </w:r>
      <w:r>
        <w:t xml:space="preserve"> set with Company blank covers every company the app can sign into.</w:t>
      </w:r>
    </w:p>
    <w:p>
      <w:r>
        <w:t>Still stuck? Email reviews@ampliosolutions.co.uk with a screenshot of the step you’re on. We reply within one working day.</w:t>
      </w:r>
    </w:p>
    <w:sectPr w:rsidR="00FC693F" w:rsidRPr="0006063C" w:rsidSect="00034616">
      <w:footerReference w:type="default" r:id="rId10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ayout w:type="fixed"/>
      <w:tblLook w:firstColumn="1" w:firstRow="1" w:lastColumn="0" w:lastRow="0" w:noHBand="0" w:noVBand="1" w:val="04A0"/>
    </w:tblPr>
    <w:tblGrid>
      <w:gridCol w:w="4819"/>
      <w:gridCol w:w="4819"/>
    </w:tblGrid>
    <w:tr>
      <w:tc>
        <w:tcPr>
          <w:tcW w:type="dxa" w:w="4819"/>
        </w:tcPr>
        <w:p>
          <w:r/>
          <w:r>
            <w:drawing>
              <wp:inline xmlns:a="http://schemas.openxmlformats.org/drawingml/2006/main" xmlns:pic="http://schemas.openxmlformats.org/drawingml/2006/picture">
                <wp:extent cx="720000" cy="239766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Amplio_Light_1024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239766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19"/>
        </w:tcPr>
        <w:p>
          <w:pPr>
            <w:jc w:val="right"/>
          </w:pPr>
          <w:r/>
          <w:r>
            <w:rPr>
              <w:rFonts w:ascii="Inter" w:hAnsi="Inter"/>
              <w:color w:val="595959"/>
              <w:sz w:val="18"/>
            </w:rPr>
            <w:t xml:space="preserve">Page </w:t>
          </w:r>
          <w:r>
            <w:fldChar w:fldCharType="begin"/>
            <w:instrText xml:space="preserve">PAGE</w:instrText>
            <w:fldChar w:fldCharType="separate"/>
            <w:fldChar w:fldCharType="end"/>
          </w:r>
          <w:r>
            <w:rPr>
              <w:rFonts w:ascii="Inter" w:hAnsi="Inter"/>
              <w:color w:val="595959"/>
              <w:sz w:val="18"/>
            </w:rPr>
            <w:t xml:space="preserve"> of </w:t>
          </w:r>
          <w:r>
            <w:fldChar w:fldCharType="begin"/>
            <w:instrText xml:space="preserve">NUMPAGES</w:instrText>
            <w:fldChar w:fldCharType="separate"/>
            <w:fldChar w:fldCharType="end"/>
          </w:r>
        </w:p>
      </w:tc>
    </w:tr>
  </w:tbl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26262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Inter" w:hAnsi="Inter"/>
      <w:b/>
      <w:bCs/>
      <w:color w:val="000000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Inter" w:hAnsi="Inter"/>
      <w:b/>
      <w:bCs/>
      <w:color w:val="00000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Inter" w:hAnsi="Inter"/>
      <w:b/>
      <w:bCs/>
      <w:color w:val="262626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